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19:05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82" w:history="1">
        <w:r>
          <w:rPr>
            <w:rFonts w:ascii="Arial" w:hAnsi="Arial" w:eastAsia="Arial" w:cs="Arial"/>
            <w:color w:val="155CAA"/>
            <w:u w:val="single"/>
          </w:rPr>
          <w:t xml:space="preserve">1 Brf FNV, Kostendelersnorm onder de 27 jaar, zaaknr 665575, 20220707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82"/>
      <w:r w:rsidRPr="00A448AC">
        <w:rPr>
          <w:rFonts w:ascii="Arial" w:hAnsi="Arial" w:cs="Arial"/>
          <w:b/>
          <w:bCs/>
          <w:color w:val="303F4C"/>
          <w:lang w:val="en-US"/>
        </w:rPr>
        <w:t>Brf FNV, Kostendelersnorm onder de 27 jaar, zaaknr 665575, 20220707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FNV, Kostendelersnorm onder de 27 jaar, zaaknr 665575, 20220707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144,46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FNV-Kostendelersnorm-onder-de-27-jaar-zaaknr-665575-202207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