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6" w:history="1">
        <w:r>
          <w:rPr>
            <w:rFonts w:ascii="Arial" w:hAnsi="Arial" w:eastAsia="Arial" w:cs="Arial"/>
            <w:color w:val="155CAA"/>
            <w:u w:val="single"/>
          </w:rPr>
          <w:t xml:space="preserve">1 Brf Commissariaat voor de Media, Advies aanwijzing lokale omroep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6"/>
      <w:r w:rsidRPr="00A448AC">
        <w:rPr>
          <w:rFonts w:ascii="Arial" w:hAnsi="Arial" w:cs="Arial"/>
          <w:b/>
          <w:bCs/>
          <w:color w:val="303F4C"/>
          <w:lang w:val="en-US"/>
        </w:rPr>
        <w:t>Brf Commissariaat voor de Media, Advies aanwijzing lokale omroep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Commissariaat voor de Media, Advies aanwijzing lokale omroep, 20231009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Commissariaat-voor-de-Media-Advies-aanwijzing-lokale-omroep-202310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