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46" text:style-name="Internet_20_link" text:visited-style-name="Visited_20_Internet_20_Link">
              <text:span text:style-name="ListLabel_20_28">
                <text:span text:style-name="T8">1 Brf Commissariaat voor de Media, Advies aanwijzing lokale omroep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46"/>
        Brf Commissariaat voor de Media, Advies aanwijzing lokale omroep
        <text:bookmark-end text:name="432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09-10-2023 12:31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Commissariaat voor de Media, Advies aanwijzing lokale omroep, 20231009
              <text:span text:style-name="T3"/>
            </text:p>
            <text:p text:style-name="P7"/>
          </table:table-cell>
          <table:table-cell table:style-name="Table4.A2" office:value-type="string">
            <text:p text:style-name="P8">09-10-2023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340,99 KB</text:p>
          </table:table-cell>
          <table:table-cell table:style-name="Table4.A2" office:value-type="string">
            <text:p text:style-name="P33">
              <text:a xlink:type="simple" xlink:href="https://ris.dalfsen.nl//Raadsinformatie/Bijlage/Brf-Commissariaat-voor-de-Media-Advies-aanwijzing-lokale-omroep-202310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89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