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3" w:history="1">
        <w:r>
          <w:rPr>
            <w:rFonts w:ascii="Arial" w:hAnsi="Arial" w:eastAsia="Arial" w:cs="Arial"/>
            <w:color w:val="155CAA"/>
            <w:u w:val="single"/>
          </w:rPr>
          <w:t xml:space="preserve">1 Brf Agrifirm, Tegenstrijdigheden 8e Verzamelplan Buitengebied gemeente Dalfsen m.b.t. bestemming, zaaknr 651007,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3"/>
      <w:r w:rsidRPr="00A448AC">
        <w:rPr>
          <w:rFonts w:ascii="Arial" w:hAnsi="Arial" w:cs="Arial"/>
          <w:b/>
          <w:bCs/>
          <w:color w:val="303F4C"/>
          <w:lang w:val="en-US"/>
        </w:rPr>
        <w:t>Brf Agrifirm, Tegenstrijdigheden 8e Verzamelplan Buitengebied gemeente Dalfsen m.b.t. bestemming, zaaknr 651007,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Agrifirm, Tegenstrijdigheden 8e Verzamelplan Buitengebied gem Dalfsen mbt bestemming, zaaknr 651007,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Agrifirm-Tegenstrijdigheden-8e-Verzamelplan-Buitengebied-gem-Dalfsen-mbt-bestemming-zaaknr-651007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