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44" w:history="1">
        <w:r>
          <w:rPr>
            <w:rFonts w:ascii="Arial" w:hAnsi="Arial" w:eastAsia="Arial" w:cs="Arial"/>
            <w:color w:val="155CAA"/>
            <w:u w:val="single"/>
          </w:rPr>
          <w:t xml:space="preserve">1 Raad 18 apr 2017 - Ingekomen stuk, Countus, Zienswijze BP verzamelpl buitengebied Oosterveen 56-De Stouwe 27, nr 494559-128515, 20170330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44"/>
      <w:r w:rsidRPr="00A448AC">
        <w:rPr>
          <w:rFonts w:ascii="Arial" w:hAnsi="Arial" w:cs="Arial"/>
          <w:b/>
          <w:bCs/>
          <w:color w:val="303F4C"/>
          <w:lang w:val="en-US"/>
        </w:rPr>
        <w:t>Raad 18 apr 2017 - Ingekomen stuk, Countus, Zienswijze BP verzamelpl buitengebied Oosterveen 56-De Stouwe 27, nr 494559-128515, 20170330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20-04-2017 16:54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18 apr 2017 - Ingekomen stuk, Countus, Zienswijze BP verzamelpl buitengebied Oosterveen 56-De Stouwe 27, nr 494559-128515, 20170330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30-03-2017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267,58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18-apr-2017-Ingekomen-stuk-Countus-Zienswijze-BP-verzamelpl-buitengebied-Oosterveen-56-De-Stouwe-27-nr-494559-128515-201703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