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1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Min Binnenl Zkn en Koninkrijksrel, Circulaire Besluit Harmonisering en moderniserin rechtspositite decentrale politieke ambtsdragers, nr 18049-21044, 20140805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 Binnenl Zkn en Koninkrijksrel, Circulaire Besluit Harmonisering en moderniserin rechtspositite decentrale politieke ambtsdragers, nr 18049-21044,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 Binnenl Zkn en Koninkrijksrel, Circulaire Besluit Harmonisering en moderniserin rechtspositite decentrale politieke ambtsdragers, nr 18049-21044,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2-sep-2014---Ingekomen-stuk--Min-Binnenl-Zkn-en-Koninkrijksrel--Circulaire-Besluit-Harmonisering-en-moderniserin-rechtspositite-decentrale-politieke-ambtsdragers--nr-18049-21044--2014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