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65" w:history="1">
        <w:r>
          <w:rPr>
            <w:rFonts w:ascii="Arial" w:hAnsi="Arial" w:eastAsia="Arial" w:cs="Arial"/>
            <w:color w:val="155CAA"/>
            <w:u w:val="single"/>
          </w:rPr>
          <w:t xml:space="preserve">1 Raad 24 mrt 2014 - Ingekomen stuk, L. Roozeboom, Principeverzoek Schoemaker-De Boer, Dommelerdijk Nieuwleusen, nr 14276-17911, 20140224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65"/>
      <w:r w:rsidRPr="00A448AC">
        <w:rPr>
          <w:rFonts w:ascii="Arial" w:hAnsi="Arial" w:cs="Arial"/>
          <w:b/>
          <w:bCs/>
          <w:color w:val="303F4C"/>
          <w:lang w:val="en-US"/>
        </w:rPr>
        <w:t>Raad 24 mrt 2014 - Ingekomen stuk, L. Roozeboom, Principeverzoek Schoemaker-De Boer, Dommelerdijk Nieuwleusen, nr 14276-17911, 20140224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03-04-2014 16:10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24 mrt 2014 - Ingekomen stuk, L. Roozeboom, Principeverzoek Schoemaker-De Boer, Dommelerdijk Nieuwleusen, nr 14276-17911, 20140224.pdf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26,10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4-mrt-2014-Ingekomen-stuk-L-Roozeboom-Principeverzoek-Schoemaker-De-Boer-Dommelerdijk-Nieuwleusen-nr-14276-17911-201402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