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00" w:history="1">
        <w:r>
          <w:rPr>
            <w:rFonts w:ascii="Arial" w:hAnsi="Arial" w:eastAsia="Arial" w:cs="Arial"/>
            <w:color w:val="155CAA"/>
            <w:u w:val="single"/>
          </w:rPr>
          <w:t xml:space="preserve">1 20121029 Ingekomen stuk, Teusink - Bestemmingsplanwijziging Dalfsen Kom, Vechtstraat-Vechtdijk, nr 5829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00"/>
      <w:r w:rsidRPr="00A448AC">
        <w:rPr>
          <w:rFonts w:ascii="Arial" w:hAnsi="Arial" w:cs="Arial"/>
          <w:b/>
          <w:bCs/>
          <w:color w:val="303F4C"/>
          <w:lang w:val="en-US"/>
        </w:rPr>
        <w:t>20121029 Ingekomen stuk, Teusink - Bestemmingsplanwijziging Dalfsen Kom, Vechtstraat-Vechtdijk, nr 5829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06-12-2012 16:35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20121029 Ingekomen stuk, Teusink - Bestemmingsplanwijziging Dalfsen Kom, Vechtdijk-Vechstraat, nr 5829.pdf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1029-Ingekomen-stuk--Teusink---Bestemmingsplanwijziging-Dalfsen-Kom--Vechtdijk-Vechstraat--nr-58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