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06:31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541" text:style-name="Internet_20_link" text:visited-style-name="Visited_20_Internet_20_Link">
              <text:span text:style-name="ListLabel_20_28">
                <text:span text:style-name="T8">1 Brf, PlasBossinade, Pro forma bezwaarschrift voorkeursrecht, 20210803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541"/>
        Brf, PlasBossinade, Pro forma bezwaarschrift voorkeursrecht, 20210803
        <text:bookmark-end text:name="42541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04-10-2021 14:50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Ter advisering in handen van de commissie bezwaarschriften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Brf, PlasBossinade, Pro forma bezwaarschrift voorkeursrecht, 20210803
              <text:span text:style-name="T3"/>
            </text:p>
            <text:p text:style-name="P7"/>
          </table:table-cell>
          <table:table-cell table:style-name="Table4.A2" office:value-type="string">
            <text:p text:style-name="P8">03-08-2021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970,14 KB</text:p>
          </table:table-cell>
          <table:table-cell table:style-name="Table4.A2" office:value-type="string">
            <text:p text:style-name="P33">
              <text:a xlink:type="simple" xlink:href="https://ris.dalfsen.nl//Raadsinformatie/Bijlage/Brf-PlasBossinade-Pro-forma-bezwaarschrift-voorkeursrecht-20210803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68" meta:character-count="512" meta:non-whitespace-character-count="47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1226237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1226237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