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20-06-2025 05:59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432" text:style-name="Internet_20_link" text:visited-style-name="Visited_20_Internet_20_Link">
              <text:span text:style-name="ListLabel_20_28">
                <text:span text:style-name="T8">1 Raad 21 mrt 2016 - Ingekomen stuk, K en dJ, Kwestie bp buitengebied en last onder dwangsom, nr 130-2396, 20160307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432"/>
        Raad 21 mrt 2016 - Ingekomen stuk, K en dJ, Kwestie bp buitengebied en last onder dwangsom, nr 130-2396, 20160307
        <text:bookmark-end text:name="4143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28-04-2016 10:08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Anders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 21 mrt 2016 - Ingekomen stuk, K en dJ, Kwestie bp buitengebied en last onder dwangsom, nr 130-2396, 20160307.pdf
              <text:span text:style-name="T3"/>
            </text:p>
            <text:p text:style-name="P7"/>
          </table:table-cell>
          <table:table-cell table:style-name="Table4.A2" office:value-type="string">
            <text:p text:style-name="P8">07-03-2016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833,18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anders/Raad-21-mrt-2016-Ingekomen-stuk-K-en-dJ-Kwestie-bp-buitengebied-en-last-onder-dwangsom-nr-130-2396-201603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99" meta:character-count="588" meta:non-whitespace-character-count="5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990358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990358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