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05:41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44" text:style-name="Internet_20_link" text:visited-style-name="Visited_20_Internet_20_Link">
              <text:span text:style-name="ListLabel_20_28">
                <text:span text:style-name="T8">1 Brf VNG, Strategisch profiel griffier en vervolgacties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44"/>
        Brf VNG, Strategisch profiel griffier en vervolgacties
        <text:bookmark-end text:name="4354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15-07-2024 15:37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Anders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VNG, Strategisch profiel griffier en vervolgacties, 20240715
              <text:span text:style-name="T3"/>
            </text:p>
            <text:p text:style-name="P7"/>
          </table:table-cell>
          <table:table-cell table:style-name="Table4.A2" office:value-type="string">
            <text:p text:style-name="P8">15-07-2024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1.018,41 KB</text:p>
          </table:table-cell>
          <table:table-cell table:style-name="Table4.A2" office:value-type="string">
            <text:p text:style-name="P33">
              <text:a xlink:type="simple" xlink:href="https://ris.dalfsen.nl//Raadsinformatie/Bijlage/Brf-VNG-Strategisch-profiel-griffier-en-vervolgacties-202407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1" meta:character-count="419" meta:non-whitespace-character-count="3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517069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517069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