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66" w:history="1">
        <w:r>
          <w:rPr>
            <w:rFonts w:ascii="Arial" w:hAnsi="Arial" w:eastAsia="Arial" w:cs="Arial"/>
            <w:color w:val="155CAA"/>
            <w:u w:val="single"/>
          </w:rPr>
          <w:t xml:space="preserve">1 Raad 15 dec 2014 - Ingekomen stuk, Kragt - Bisschop - Moddejonge, Bezwaar raadsbesluit Bontekamp 51, nr 19277-24001, 20141201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66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Kragt - Bisschop - Moddejonge, Bezwaar raadsbesluit Bontekamp 51, nr 19277-24001, 20141201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Kragt - Bisschop - Moddejonge, Bezwaar raadsbesluit Bontekamp 51, nr 19277-24001, 20141201.pdf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anders/Raad-15-dec-2014---Ingekomen-stuk--Kragt---Bisschop---Moddejonge--Bezwaar-raadsbesluit-Bontekamp-51--nr-19277-24001--20141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